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DD" w:rsidRDefault="00CD7D99" w:rsidP="00137CD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9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7CDD" w:rsidRDefault="00137CDD" w:rsidP="00137CDD">
      <w:pPr>
        <w:jc w:val="center"/>
        <w:rPr>
          <w:b/>
          <w:sz w:val="28"/>
          <w:szCs w:val="28"/>
        </w:rPr>
      </w:pPr>
    </w:p>
    <w:p w:rsidR="00137CDD" w:rsidRDefault="00137CDD" w:rsidP="00137CDD">
      <w:pPr>
        <w:jc w:val="center"/>
        <w:rPr>
          <w:b/>
          <w:sz w:val="28"/>
          <w:szCs w:val="28"/>
        </w:rPr>
      </w:pPr>
    </w:p>
    <w:p w:rsidR="00137CDD" w:rsidRDefault="00137CDD" w:rsidP="00137CDD">
      <w:pPr>
        <w:jc w:val="center"/>
        <w:rPr>
          <w:b/>
          <w:sz w:val="28"/>
          <w:szCs w:val="28"/>
        </w:rPr>
      </w:pPr>
    </w:p>
    <w:p w:rsidR="00137CDD" w:rsidRDefault="00137CDD" w:rsidP="00137CDD">
      <w:pPr>
        <w:jc w:val="center"/>
        <w:rPr>
          <w:b/>
          <w:sz w:val="28"/>
          <w:szCs w:val="28"/>
        </w:rPr>
      </w:pPr>
    </w:p>
    <w:p w:rsidR="00137CDD" w:rsidRDefault="00137CDD" w:rsidP="00137CDD">
      <w:pPr>
        <w:jc w:val="center"/>
        <w:rPr>
          <w:b/>
          <w:sz w:val="28"/>
          <w:szCs w:val="28"/>
        </w:rPr>
      </w:pPr>
    </w:p>
    <w:p w:rsidR="00137CDD" w:rsidRDefault="00137CDD" w:rsidP="00137CDD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137CDD" w:rsidRDefault="00137CDD" w:rsidP="002673C4">
      <w:pPr>
        <w:rPr>
          <w:rFonts w:ascii="Times New Roman" w:eastAsia="Calibri" w:hAnsi="Times New Roman" w:cs="Times New Roman"/>
          <w:sz w:val="28"/>
          <w:szCs w:val="28"/>
        </w:rPr>
      </w:pPr>
    </w:p>
    <w:p w:rsidR="00137CDD" w:rsidRPr="009B5F52" w:rsidRDefault="00137CDD" w:rsidP="002673C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C66CB" w:rsidRDefault="000C66CB" w:rsidP="000C6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BF8">
        <w:rPr>
          <w:rFonts w:ascii="Times New Roman" w:hAnsi="Times New Roman" w:cs="Times New Roman"/>
          <w:sz w:val="28"/>
          <w:szCs w:val="28"/>
        </w:rPr>
        <w:t>Муниципальное  бюджетное  общеобразовательное  учреждение</w:t>
      </w:r>
    </w:p>
    <w:p w:rsidR="000C66CB" w:rsidRPr="00254BF8" w:rsidRDefault="000C66CB" w:rsidP="000C6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школа села Топтыково</w:t>
      </w:r>
    </w:p>
    <w:p w:rsidR="000C66CB" w:rsidRPr="00254BF8" w:rsidRDefault="000C66CB" w:rsidP="000C6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BF8">
        <w:rPr>
          <w:rFonts w:ascii="Times New Roman" w:hAnsi="Times New Roman" w:cs="Times New Roman"/>
          <w:sz w:val="28"/>
          <w:szCs w:val="28"/>
        </w:rPr>
        <w:t>Чаплыгинского  муниципального  района</w:t>
      </w:r>
    </w:p>
    <w:p w:rsidR="000C66CB" w:rsidRPr="00254BF8" w:rsidRDefault="000C66CB" w:rsidP="000C6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BF8">
        <w:rPr>
          <w:rFonts w:ascii="Times New Roman" w:hAnsi="Times New Roman" w:cs="Times New Roman"/>
          <w:sz w:val="28"/>
          <w:szCs w:val="28"/>
        </w:rPr>
        <w:t>Липецкой  области</w:t>
      </w:r>
    </w:p>
    <w:p w:rsidR="000C66CB" w:rsidRPr="00254BF8" w:rsidRDefault="000C66CB" w:rsidP="000C66CB">
      <w:pPr>
        <w:spacing w:after="0" w:line="2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4BF8">
        <w:rPr>
          <w:rFonts w:ascii="Times New Roman" w:hAnsi="Times New Roman" w:cs="Times New Roman"/>
          <w:b/>
          <w:sz w:val="36"/>
          <w:szCs w:val="36"/>
        </w:rPr>
        <w:t>Пояснительная  записка  к   учебному  плану</w:t>
      </w:r>
    </w:p>
    <w:p w:rsidR="000C66CB" w:rsidRDefault="000C66CB" w:rsidP="000C66CB">
      <w:pPr>
        <w:spacing w:after="0" w:line="2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 201</w:t>
      </w:r>
      <w:r w:rsidR="00CD7D99">
        <w:rPr>
          <w:rFonts w:ascii="Times New Roman" w:hAnsi="Times New Roman" w:cs="Times New Roman"/>
          <w:b/>
          <w:sz w:val="36"/>
          <w:szCs w:val="36"/>
        </w:rPr>
        <w:t>9</w:t>
      </w:r>
      <w:r>
        <w:rPr>
          <w:rFonts w:ascii="Times New Roman" w:hAnsi="Times New Roman" w:cs="Times New Roman"/>
          <w:b/>
          <w:sz w:val="36"/>
          <w:szCs w:val="36"/>
        </w:rPr>
        <w:t xml:space="preserve"> - 20</w:t>
      </w:r>
      <w:r w:rsidR="00CD7D99">
        <w:rPr>
          <w:rFonts w:ascii="Times New Roman" w:hAnsi="Times New Roman" w:cs="Times New Roman"/>
          <w:b/>
          <w:sz w:val="36"/>
          <w:szCs w:val="36"/>
        </w:rPr>
        <w:t>20</w:t>
      </w:r>
      <w:r w:rsidRPr="00254BF8">
        <w:rPr>
          <w:rFonts w:ascii="Times New Roman" w:hAnsi="Times New Roman" w:cs="Times New Roman"/>
          <w:b/>
          <w:sz w:val="36"/>
          <w:szCs w:val="36"/>
        </w:rPr>
        <w:t xml:space="preserve">  учебный  год</w:t>
      </w:r>
    </w:p>
    <w:p w:rsidR="000C66CB" w:rsidRPr="00537FAD" w:rsidRDefault="000C66CB" w:rsidP="000C66CB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7FAD">
        <w:rPr>
          <w:rFonts w:ascii="Times New Roman" w:hAnsi="Times New Roman" w:cs="Times New Roman"/>
          <w:b/>
          <w:sz w:val="32"/>
          <w:szCs w:val="32"/>
        </w:rPr>
        <w:t>Начальное  общее  образование</w:t>
      </w:r>
    </w:p>
    <w:p w:rsidR="000C66CB" w:rsidRDefault="000C66CB" w:rsidP="000C66CB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7FAD">
        <w:rPr>
          <w:rFonts w:ascii="Times New Roman" w:hAnsi="Times New Roman" w:cs="Times New Roman"/>
          <w:b/>
          <w:sz w:val="32"/>
          <w:szCs w:val="32"/>
        </w:rPr>
        <w:t>1-4  классы</w:t>
      </w:r>
    </w:p>
    <w:p w:rsidR="000C66CB" w:rsidRDefault="000C66CB" w:rsidP="000C66CB">
      <w:pPr>
        <w:tabs>
          <w:tab w:val="left" w:pos="960"/>
        </w:tabs>
        <w:ind w:right="17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4BF8">
        <w:rPr>
          <w:rFonts w:ascii="Times New Roman" w:hAnsi="Times New Roman" w:cs="Times New Roman"/>
          <w:sz w:val="28"/>
          <w:szCs w:val="28"/>
        </w:rPr>
        <w:t>Учебный  план</w:t>
      </w:r>
      <w:r>
        <w:rPr>
          <w:rFonts w:ascii="Times New Roman" w:hAnsi="Times New Roman" w:cs="Times New Roman"/>
          <w:sz w:val="28"/>
          <w:szCs w:val="28"/>
        </w:rPr>
        <w:t xml:space="preserve">  является  частью  образовательной  программы  и  представляет  собой  документ,</w:t>
      </w:r>
      <w:r w:rsidRPr="00D23314">
        <w:rPr>
          <w:rFonts w:ascii="Times New Roman" w:hAnsi="Times New Roman" w:cs="Times New Roman"/>
          <w:sz w:val="28"/>
          <w:szCs w:val="28"/>
        </w:rPr>
        <w:t xml:space="preserve"> </w:t>
      </w:r>
      <w:r w:rsidRPr="00254BF8">
        <w:rPr>
          <w:rFonts w:ascii="Times New Roman" w:hAnsi="Times New Roman" w:cs="Times New Roman"/>
          <w:sz w:val="28"/>
          <w:szCs w:val="28"/>
        </w:rPr>
        <w:t>который  определяет  перечень,  трудоёмкость,  последовательность  и  распределение  по  периодам  обучения  учебных  предметов,  курсов,  д</w:t>
      </w:r>
      <w:r>
        <w:rPr>
          <w:rFonts w:ascii="Times New Roman" w:hAnsi="Times New Roman" w:cs="Times New Roman"/>
          <w:sz w:val="28"/>
          <w:szCs w:val="28"/>
        </w:rPr>
        <w:t xml:space="preserve">исциплин  (модулей), </w:t>
      </w:r>
      <w:r w:rsidRPr="00254BF8">
        <w:rPr>
          <w:rFonts w:ascii="Times New Roman" w:hAnsi="Times New Roman" w:cs="Times New Roman"/>
          <w:sz w:val="28"/>
          <w:szCs w:val="28"/>
        </w:rPr>
        <w:t xml:space="preserve"> иных  видов  учебной 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 и  формы  промежуточной  аттестации  обучающихся. Кроме  того,  учебный  план  обеспечивает  реализацию  требований  ФГОС,  определяет  общий  объём  нагрузки  и  максимальный  объём  аудиторной  нагрузки  обучающихся,  состав  и  структуру  обязательных  предметных  областей  по  классам  (годам  обучения).</w:t>
      </w:r>
    </w:p>
    <w:p w:rsidR="000C66CB" w:rsidRPr="00254BF8" w:rsidRDefault="000C66CB" w:rsidP="000C66CB">
      <w:pPr>
        <w:tabs>
          <w:tab w:val="left" w:pos="960"/>
        </w:tabs>
        <w:ind w:right="17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 план  и  план  внеурочной  деятельности  являются  основными  организационными  механизмами  реализации  основной  образовательной  программы.</w:t>
      </w:r>
    </w:p>
    <w:p w:rsidR="000C66CB" w:rsidRDefault="000C66CB" w:rsidP="000C66CB">
      <w:pPr>
        <w:jc w:val="both"/>
        <w:rPr>
          <w:rFonts w:ascii="Times New Roman" w:hAnsi="Times New Roman" w:cs="Times New Roman"/>
          <w:sz w:val="28"/>
          <w:szCs w:val="28"/>
        </w:rPr>
      </w:pPr>
      <w:r w:rsidRPr="00254BF8">
        <w:rPr>
          <w:rFonts w:ascii="Times New Roman" w:hAnsi="Times New Roman" w:cs="Times New Roman"/>
          <w:sz w:val="28"/>
          <w:szCs w:val="28"/>
        </w:rPr>
        <w:t>Учебный план</w:t>
      </w:r>
      <w:r>
        <w:rPr>
          <w:rFonts w:ascii="Times New Roman" w:hAnsi="Times New Roman" w:cs="Times New Roman"/>
          <w:sz w:val="28"/>
          <w:szCs w:val="28"/>
        </w:rPr>
        <w:t xml:space="preserve">  начального  общего  образования</w:t>
      </w:r>
      <w:r w:rsidRPr="00254BF8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общеобразовательного учрежд</w:t>
      </w:r>
      <w:r>
        <w:rPr>
          <w:rFonts w:ascii="Times New Roman" w:hAnsi="Times New Roman" w:cs="Times New Roman"/>
          <w:sz w:val="28"/>
          <w:szCs w:val="28"/>
        </w:rPr>
        <w:t xml:space="preserve">ения основной </w:t>
      </w:r>
      <w:r w:rsidRPr="00254BF8">
        <w:rPr>
          <w:rFonts w:ascii="Times New Roman" w:hAnsi="Times New Roman" w:cs="Times New Roman"/>
          <w:sz w:val="28"/>
          <w:szCs w:val="28"/>
        </w:rPr>
        <w:t xml:space="preserve"> школы села  </w:t>
      </w:r>
      <w:r>
        <w:rPr>
          <w:rFonts w:ascii="Times New Roman" w:hAnsi="Times New Roman" w:cs="Times New Roman"/>
          <w:sz w:val="28"/>
          <w:szCs w:val="28"/>
        </w:rPr>
        <w:t>Топтыково на  2018-2019  учебный  год  разработан  педагогическим  коллективом  и  администрацией  школы  на  основании  следующих  нормативных  документов:</w:t>
      </w:r>
    </w:p>
    <w:p w:rsidR="000C66CB" w:rsidRPr="00254BF8" w:rsidRDefault="000C66CB" w:rsidP="000C6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Федеральный  закон</w:t>
      </w:r>
      <w:r w:rsidRPr="00254BF8">
        <w:rPr>
          <w:rFonts w:ascii="Times New Roman" w:hAnsi="Times New Roman" w:cs="Times New Roman"/>
          <w:sz w:val="28"/>
          <w:szCs w:val="28"/>
        </w:rPr>
        <w:t xml:space="preserve">  от  29  декабря  2012  года  №273-ФЗ  «Об  образовании  в  Российской  Федерации»;    </w:t>
      </w:r>
    </w:p>
    <w:p w:rsidR="000C66CB" w:rsidRDefault="000C66CB" w:rsidP="000C6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приказы  Министерства  образования  и  науки  Российской  Федерации:</w:t>
      </w:r>
    </w:p>
    <w:p w:rsidR="000C66CB" w:rsidRDefault="000C66CB" w:rsidP="000C6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-от  6  октября  2009  г.  № 373  «Об   утверждении  федерального  государственного  образовательного  стандарта  начального  общего  образования»;</w:t>
      </w:r>
    </w:p>
    <w:p w:rsidR="000C66CB" w:rsidRDefault="000C66CB" w:rsidP="000C6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 26  ноября  2010  г.  № 1241  «О  внесении   изменений  в  федеральный  государственный  образовательный  стандарт  начального  общего  образования,  утверждённый  приказом  Министерства  образования  и  науки  Российской  Федерации  от  6  октября  2009  г.  №  373»;</w:t>
      </w:r>
    </w:p>
    <w:p w:rsidR="000C66CB" w:rsidRDefault="000C66CB" w:rsidP="000C6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 22  сентября  2011  г.  № 2357  «О  внесении  изменений  в  федеральный  государственный  образовательный  стандарт  начального  общего  образования,  утверждённый  приказом  Министерства  образования  и  науки  Российской  Федерации  от  6  октября  2009  г.  № 373»;</w:t>
      </w:r>
    </w:p>
    <w:p w:rsidR="000C66CB" w:rsidRDefault="000C66CB" w:rsidP="000C6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 18  декабря  2012  г.  №  1060  «О  внесении  изменений  в  федеральный  государственный  образовательный  стандарт  начального  общего  образования,  утверждённый  приказом  Министерства  образования  и  науки  Российской  Федерации  от  6  октября  2009  г.  № 373»;</w:t>
      </w:r>
    </w:p>
    <w:p w:rsidR="000C66CB" w:rsidRDefault="000C66CB" w:rsidP="000C6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 29  декабря  2014  г.  № 1643  «О  внесении  изменений  в  приказ  Министерства  образования  и  науки  Российской  Федерации  от  6  октября  2009  г.  №373  «Об  утверждении  и  введении  в  действие  федерального  государственного  образовательного  стандарта  начального  общего  образования»;</w:t>
      </w:r>
      <w:r w:rsidRPr="00C44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6CB" w:rsidRDefault="000C66CB" w:rsidP="000C6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 31  декабря  2015  г.  № 1576  «О  внесении  изменений  в  федеральный  государственный  образовательный  стандарт  начального  общего  образования,  утверждённый  приказом    Министерства  образования  и  науки  Российской  Федерации  от  6  октября  2009  г.  №373»  (зарегистрирован  Минюстом  России  2  февраля  2016  г.,  регистрационный  №  40936);</w:t>
      </w:r>
    </w:p>
    <w:p w:rsidR="000C66CB" w:rsidRPr="00254BF8" w:rsidRDefault="000C66CB" w:rsidP="000C6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 Главного  государственного  санитарного  врача  РФ  от  29.12.2010  №189  г.   «Об  утверждении   СанПиН 2.4.2.2821-10 «Санитарно-эпидемиологические  требования  к  условиям  и  организации  обучения  в  общеобразовательных  учреждениях»;</w:t>
      </w:r>
    </w:p>
    <w:p w:rsidR="000C66CB" w:rsidRPr="00A76D14" w:rsidRDefault="000C66CB" w:rsidP="000C6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A76D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ланом мероприятия по введению с 2012/13 учебного года во всех субъектах Российской Федерации комплексного учебного курса для общеобразовательных учреждений «Основы религиозных  культур и светской этики» (Распоряжение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76D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Правительства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76D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РФ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76D14">
        <w:rPr>
          <w:rFonts w:ascii="Times New Roman" w:eastAsia="Calibri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76D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28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76D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января 2012 г.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A76D14">
        <w:rPr>
          <w:rFonts w:ascii="Times New Roman" w:eastAsia="Calibri" w:hAnsi="Times New Roman" w:cs="Times New Roman"/>
          <w:color w:val="000000"/>
          <w:sz w:val="28"/>
          <w:szCs w:val="28"/>
        </w:rPr>
        <w:t>№ 84-р);</w:t>
      </w:r>
    </w:p>
    <w:p w:rsidR="000C66CB" w:rsidRPr="00A76D14" w:rsidRDefault="000C66CB" w:rsidP="000C6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 и</w:t>
      </w:r>
      <w:r w:rsidRPr="00A76D14">
        <w:rPr>
          <w:rFonts w:ascii="Times New Roman" w:eastAsia="Calibri" w:hAnsi="Times New Roman" w:cs="Times New Roman"/>
          <w:color w:val="000000"/>
          <w:sz w:val="28"/>
          <w:szCs w:val="28"/>
        </w:rPr>
        <w:t>нформационно-инструктивным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76D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письмом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76D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управления образования и науки Липецкой области от 29 февраля 2012 СК-487) «О введении во всех общеобразовательных учреждениях Липецкой области комплексного учебного курса «Основы религиозных культур и светской этики» с 01 сентября 2012 года»;</w:t>
      </w:r>
      <w:proofErr w:type="gramEnd"/>
    </w:p>
    <w:p w:rsidR="000C66CB" w:rsidRPr="00A76D14" w:rsidRDefault="000C66CB" w:rsidP="000C6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 ф</w:t>
      </w:r>
      <w:r w:rsidRPr="00A76D14">
        <w:rPr>
          <w:rFonts w:ascii="Times New Roman" w:eastAsia="Calibri" w:hAnsi="Times New Roman" w:cs="Times New Roman"/>
          <w:color w:val="000000"/>
          <w:sz w:val="28"/>
          <w:szCs w:val="28"/>
        </w:rPr>
        <w:t>едеральным перечнем учебников, рекомендованных и допущенных к использованию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76D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образовательном процессе в образовательных учреждениях, реализующих образовательные программы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начального  </w:t>
      </w:r>
      <w:r w:rsidRPr="00A76D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общего образования и имеющих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76D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государственную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76D14">
        <w:rPr>
          <w:rFonts w:ascii="Times New Roman" w:eastAsia="Calibri" w:hAnsi="Times New Roman" w:cs="Times New Roman"/>
          <w:color w:val="000000"/>
          <w:sz w:val="28"/>
          <w:szCs w:val="28"/>
        </w:rPr>
        <w:t>аккредитацию.</w:t>
      </w:r>
    </w:p>
    <w:p w:rsidR="000C66CB" w:rsidRDefault="000C66CB" w:rsidP="000C66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6CB" w:rsidRDefault="000C66CB" w:rsidP="000C6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 работы  определён  в  соответствии  с Санитарно-эпидемиологическими  требованиями  к  условиям  и  организации  обучения  в  общеобразовательных  организациях  (СанПиН  2.4.2.2821-10).</w:t>
      </w:r>
    </w:p>
    <w:p w:rsidR="000C66CB" w:rsidRDefault="000C66CB" w:rsidP="000C6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 план  состоит  из  двух  частей:  обязательной  части  и  части,  формируемой  участниками  образовательных  отношений.  Часть  учебного  плана,  формируемая  участниками  образовательных  отношений,  определяет  содержание  образования,  обеспечивающего  реализацию  интересов  и  потребностей  обучающихся,  их  родителей  (законных  представителей).</w:t>
      </w:r>
    </w:p>
    <w:p w:rsidR="000C66CB" w:rsidRDefault="000C66CB" w:rsidP="000C6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Соотношение  обязательной  части  и  части,  формируемой  участниками  образовательных  отношений,  составляет  80%  и  20%.</w:t>
      </w:r>
    </w:p>
    <w:p w:rsidR="000C66CB" w:rsidRDefault="000C66CB" w:rsidP="000C6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 учебных  занятий  за  4  учебных  года  не  может  составлять  менее  2904  часов  и  более  3345  часов.</w:t>
      </w:r>
    </w:p>
    <w:p w:rsidR="000C66CB" w:rsidRDefault="000C66CB" w:rsidP="000C6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 учебного  года:  в  первом  классе – 33  недели,  во  2-4  классах  не  менее  34  недель.</w:t>
      </w:r>
    </w:p>
    <w:p w:rsidR="000C66CB" w:rsidRDefault="000C66CB" w:rsidP="000C6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BF8">
        <w:rPr>
          <w:rFonts w:ascii="Times New Roman" w:hAnsi="Times New Roman" w:cs="Times New Roman"/>
          <w:sz w:val="28"/>
          <w:szCs w:val="28"/>
        </w:rPr>
        <w:t>Продолжительность  учебной  недели:  в  1  классе – пятидневка,  в  остальных -  шестидневка.</w:t>
      </w:r>
      <w:r>
        <w:rPr>
          <w:rFonts w:ascii="Times New Roman" w:hAnsi="Times New Roman" w:cs="Times New Roman"/>
          <w:sz w:val="28"/>
          <w:szCs w:val="28"/>
        </w:rPr>
        <w:t xml:space="preserve">  Продолжительность  урока  во  2-4  классах  составляет  45  минут.   </w:t>
      </w:r>
    </w:p>
    <w:p w:rsidR="000C66CB" w:rsidRPr="00254BF8" w:rsidRDefault="000C66CB" w:rsidP="000C66CB">
      <w:pPr>
        <w:jc w:val="both"/>
        <w:rPr>
          <w:rFonts w:ascii="Times New Roman" w:hAnsi="Times New Roman" w:cs="Times New Roman"/>
          <w:sz w:val="28"/>
          <w:szCs w:val="28"/>
        </w:rPr>
      </w:pPr>
      <w:r w:rsidRPr="00254BF8">
        <w:rPr>
          <w:rFonts w:ascii="Times New Roman" w:hAnsi="Times New Roman" w:cs="Times New Roman"/>
          <w:sz w:val="28"/>
          <w:szCs w:val="28"/>
        </w:rPr>
        <w:t>Обучение в 1-м классе осуществляется с соблюдением следующих дополнительных требований:</w:t>
      </w:r>
    </w:p>
    <w:p w:rsidR="000C66CB" w:rsidRDefault="000C66CB" w:rsidP="000C66CB">
      <w:pPr>
        <w:jc w:val="both"/>
        <w:rPr>
          <w:rFonts w:ascii="Times New Roman" w:hAnsi="Times New Roman" w:cs="Times New Roman"/>
          <w:sz w:val="28"/>
          <w:szCs w:val="28"/>
        </w:rPr>
      </w:pPr>
      <w:r w:rsidRPr="00254BF8">
        <w:rPr>
          <w:rFonts w:ascii="Times New Roman" w:hAnsi="Times New Roman" w:cs="Times New Roman"/>
          <w:sz w:val="28"/>
          <w:szCs w:val="28"/>
        </w:rPr>
        <w:t>- использование "ступенчатого"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45 минут каждый);</w:t>
      </w:r>
    </w:p>
    <w:p w:rsidR="000C66CB" w:rsidRPr="00254BF8" w:rsidRDefault="000C66CB" w:rsidP="000C66CB">
      <w:pPr>
        <w:jc w:val="both"/>
        <w:rPr>
          <w:rFonts w:ascii="Times New Roman" w:hAnsi="Times New Roman" w:cs="Times New Roman"/>
          <w:sz w:val="28"/>
          <w:szCs w:val="28"/>
        </w:rPr>
      </w:pPr>
      <w:r w:rsidRPr="00254BF8">
        <w:rPr>
          <w:rFonts w:ascii="Times New Roman" w:hAnsi="Times New Roman" w:cs="Times New Roman"/>
          <w:sz w:val="28"/>
          <w:szCs w:val="28"/>
        </w:rPr>
        <w:t>- организована в середине учебного дня динамическая пауза продолжительностью 40 минут;</w:t>
      </w:r>
    </w:p>
    <w:p w:rsidR="000C66CB" w:rsidRDefault="000C66CB" w:rsidP="000C66CB">
      <w:pPr>
        <w:pStyle w:val="a3"/>
        <w:jc w:val="both"/>
        <w:rPr>
          <w:sz w:val="28"/>
          <w:szCs w:val="28"/>
        </w:rPr>
      </w:pPr>
      <w:r w:rsidRPr="00254BF8">
        <w:rPr>
          <w:sz w:val="28"/>
          <w:szCs w:val="28"/>
        </w:rPr>
        <w:lastRenderedPageBreak/>
        <w:t xml:space="preserve">- обучение проводится без балльного оценивания знаний </w:t>
      </w:r>
      <w:r>
        <w:rPr>
          <w:sz w:val="28"/>
          <w:szCs w:val="28"/>
        </w:rPr>
        <w:t>уча</w:t>
      </w:r>
      <w:r w:rsidRPr="00254BF8">
        <w:rPr>
          <w:sz w:val="28"/>
          <w:szCs w:val="28"/>
        </w:rPr>
        <w:t>щихся и домашних заданий.</w:t>
      </w:r>
      <w:r>
        <w:rPr>
          <w:sz w:val="28"/>
          <w:szCs w:val="28"/>
        </w:rPr>
        <w:t xml:space="preserve">  </w:t>
      </w:r>
    </w:p>
    <w:p w:rsidR="000C66CB" w:rsidRPr="00254BF8" w:rsidRDefault="000C66CB" w:rsidP="000C66CB">
      <w:pPr>
        <w:pStyle w:val="a3"/>
        <w:jc w:val="both"/>
        <w:rPr>
          <w:rFonts w:eastAsia="Lucida Sans Unicode"/>
          <w:sz w:val="26"/>
          <w:szCs w:val="26"/>
        </w:rPr>
      </w:pPr>
      <w:r>
        <w:rPr>
          <w:sz w:val="28"/>
          <w:szCs w:val="28"/>
        </w:rPr>
        <w:t>Все  занятия  проводятся  в  первую  смену.</w:t>
      </w:r>
      <w:r w:rsidRPr="00254BF8">
        <w:rPr>
          <w:rFonts w:eastAsia="Lucida Sans Unicode"/>
          <w:sz w:val="26"/>
          <w:szCs w:val="26"/>
        </w:rPr>
        <w:t xml:space="preserve">  </w:t>
      </w:r>
    </w:p>
    <w:p w:rsidR="000C66CB" w:rsidRDefault="000C66CB" w:rsidP="000C66CB">
      <w:pPr>
        <w:jc w:val="both"/>
        <w:rPr>
          <w:rFonts w:ascii="Times New Roman" w:hAnsi="Times New Roman" w:cs="Times New Roman"/>
          <w:sz w:val="28"/>
        </w:rPr>
      </w:pPr>
      <w:r w:rsidRPr="003C72D6">
        <w:rPr>
          <w:rFonts w:ascii="Times New Roman" w:hAnsi="Times New Roman" w:cs="Times New Roman"/>
          <w:sz w:val="28"/>
        </w:rPr>
        <w:t>Формой  промежуточной  аттестации  учащихся  является  годовая  отметка.</w:t>
      </w:r>
    </w:p>
    <w:p w:rsidR="000C66CB" w:rsidRDefault="000C66CB" w:rsidP="000C6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учебном  плане  начальной школы на 2018-2019</w:t>
      </w:r>
      <w:r w:rsidRPr="00254BF8">
        <w:rPr>
          <w:rFonts w:ascii="Times New Roman" w:hAnsi="Times New Roman" w:cs="Times New Roman"/>
          <w:sz w:val="28"/>
          <w:szCs w:val="28"/>
        </w:rPr>
        <w:t xml:space="preserve"> учебный год в необходимом объёме сохранено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BF8">
        <w:rPr>
          <w:rFonts w:ascii="Times New Roman" w:hAnsi="Times New Roman" w:cs="Times New Roman"/>
          <w:sz w:val="28"/>
          <w:szCs w:val="28"/>
        </w:rPr>
        <w:t xml:space="preserve"> учебных программ, являющихся обязательными, обеспечивающими базовый уровень и гарантирующими сохранение единого образовательного пространства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BF8">
        <w:rPr>
          <w:rFonts w:ascii="Times New Roman" w:hAnsi="Times New Roman" w:cs="Times New Roman"/>
          <w:sz w:val="28"/>
          <w:szCs w:val="28"/>
        </w:rPr>
        <w:t>РФ.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BF8">
        <w:rPr>
          <w:rFonts w:ascii="Times New Roman" w:hAnsi="Times New Roman" w:cs="Times New Roman"/>
          <w:sz w:val="28"/>
          <w:szCs w:val="28"/>
        </w:rPr>
        <w:t xml:space="preserve"> 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BF8">
        <w:rPr>
          <w:rFonts w:ascii="Times New Roman" w:hAnsi="Times New Roman" w:cs="Times New Roman"/>
          <w:sz w:val="28"/>
          <w:szCs w:val="28"/>
        </w:rPr>
        <w:t xml:space="preserve"> плана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BF8">
        <w:rPr>
          <w:rFonts w:ascii="Times New Roman" w:hAnsi="Times New Roman" w:cs="Times New Roman"/>
          <w:sz w:val="28"/>
          <w:szCs w:val="28"/>
        </w:rPr>
        <w:t xml:space="preserve"> Федеральному государственному образовательному стандарту начального общего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54BF8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часов, отведённое на освоение уча</w:t>
      </w:r>
      <w:r w:rsidRPr="00254BF8">
        <w:rPr>
          <w:rFonts w:ascii="Times New Roman" w:hAnsi="Times New Roman" w:cs="Times New Roman"/>
          <w:sz w:val="28"/>
          <w:szCs w:val="28"/>
        </w:rPr>
        <w:t>щимися учебного плана школы, состоящего из обязательной части и части, формируемой участ</w:t>
      </w:r>
      <w:r>
        <w:rPr>
          <w:rFonts w:ascii="Times New Roman" w:hAnsi="Times New Roman" w:cs="Times New Roman"/>
          <w:sz w:val="28"/>
          <w:szCs w:val="28"/>
        </w:rPr>
        <w:t>никами образовательных  отношений</w:t>
      </w:r>
      <w:r w:rsidRPr="00254BF8">
        <w:rPr>
          <w:rFonts w:ascii="Times New Roman" w:hAnsi="Times New Roman" w:cs="Times New Roman"/>
          <w:sz w:val="28"/>
          <w:szCs w:val="28"/>
        </w:rPr>
        <w:t>, в совокупности не превышает величину недельной образовательной нагрузки.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6CB" w:rsidRPr="003C72D6" w:rsidRDefault="000C66CB" w:rsidP="000C66CB">
      <w:pPr>
        <w:jc w:val="both"/>
        <w:rPr>
          <w:rFonts w:ascii="Times New Roman" w:hAnsi="Times New Roman" w:cs="Times New Roman"/>
          <w:sz w:val="28"/>
        </w:rPr>
      </w:pPr>
      <w:r w:rsidRPr="00254BF8">
        <w:rPr>
          <w:rFonts w:ascii="Times New Roman" w:hAnsi="Times New Roman" w:cs="Times New Roman"/>
          <w:sz w:val="28"/>
          <w:szCs w:val="28"/>
        </w:rPr>
        <w:t xml:space="preserve">Выполнение учебных программ обеспечивается </w:t>
      </w:r>
      <w:r>
        <w:rPr>
          <w:rFonts w:ascii="Times New Roman" w:hAnsi="Times New Roman" w:cs="Times New Roman"/>
          <w:sz w:val="28"/>
          <w:szCs w:val="28"/>
        </w:rPr>
        <w:t xml:space="preserve">  УМК «Школа  России».</w:t>
      </w:r>
    </w:p>
    <w:p w:rsidR="000C66CB" w:rsidRPr="00254BF8" w:rsidRDefault="000C66CB" w:rsidP="000C66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54BF8">
        <w:rPr>
          <w:rFonts w:ascii="Times New Roman" w:hAnsi="Times New Roman" w:cs="Times New Roman"/>
          <w:sz w:val="28"/>
          <w:szCs w:val="28"/>
        </w:rPr>
        <w:t xml:space="preserve">В учебный план 4 класса в соответствии с нормативными правовыми документами Министерства образования РФ  включён курс «Основы религиозной культуры и светской этики» (далее – ОРКСЭ) по 1 часу в неделю. </w:t>
      </w:r>
      <w:r w:rsidRPr="00254BF8">
        <w:rPr>
          <w:rFonts w:ascii="Times New Roman" w:hAnsi="Times New Roman" w:cs="Times New Roman"/>
          <w:bCs/>
          <w:sz w:val="28"/>
          <w:szCs w:val="28"/>
        </w:rPr>
        <w:t>Комплексный учебный курс ОРКСЭ является светским</w:t>
      </w:r>
      <w:r w:rsidRPr="00254BF8">
        <w:rPr>
          <w:rFonts w:ascii="Times New Roman" w:hAnsi="Times New Roman" w:cs="Times New Roman"/>
          <w:sz w:val="28"/>
          <w:szCs w:val="28"/>
        </w:rPr>
        <w:t xml:space="preserve">. В рамках преподавания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BF8">
        <w:rPr>
          <w:rFonts w:ascii="Times New Roman" w:hAnsi="Times New Roman" w:cs="Times New Roman"/>
          <w:sz w:val="28"/>
          <w:szCs w:val="28"/>
        </w:rPr>
        <w:t xml:space="preserve">комплексного курса </w:t>
      </w:r>
      <w:r w:rsidRPr="00254BF8">
        <w:rPr>
          <w:rFonts w:ascii="Times New Roman" w:hAnsi="Times New Roman" w:cs="Times New Roman"/>
          <w:b/>
          <w:bCs/>
          <w:sz w:val="28"/>
          <w:szCs w:val="28"/>
        </w:rPr>
        <w:t>не предусматривается</w:t>
      </w:r>
      <w:r w:rsidRPr="00254BF8">
        <w:rPr>
          <w:rFonts w:ascii="Times New Roman" w:hAnsi="Times New Roman" w:cs="Times New Roman"/>
          <w:bCs/>
          <w:sz w:val="28"/>
          <w:szCs w:val="28"/>
        </w:rPr>
        <w:t xml:space="preserve"> обучение религии.</w:t>
      </w:r>
      <w:r w:rsidRPr="00254BF8">
        <w:rPr>
          <w:rFonts w:ascii="Times New Roman" w:hAnsi="Times New Roman" w:cs="Times New Roman"/>
          <w:sz w:val="28"/>
          <w:szCs w:val="28"/>
        </w:rPr>
        <w:t xml:space="preserve">   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BF8">
        <w:rPr>
          <w:rFonts w:ascii="Times New Roman" w:hAnsi="Times New Roman" w:cs="Times New Roman"/>
          <w:sz w:val="28"/>
          <w:szCs w:val="28"/>
        </w:rPr>
        <w:t xml:space="preserve"> модулей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BF8">
        <w:rPr>
          <w:rFonts w:ascii="Times New Roman" w:hAnsi="Times New Roman" w:cs="Times New Roman"/>
          <w:sz w:val="28"/>
          <w:szCs w:val="28"/>
        </w:rPr>
        <w:t xml:space="preserve"> 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BF8">
        <w:rPr>
          <w:rFonts w:ascii="Times New Roman" w:hAnsi="Times New Roman" w:cs="Times New Roman"/>
          <w:sz w:val="28"/>
          <w:szCs w:val="28"/>
        </w:rPr>
        <w:t xml:space="preserve"> ориентировано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BF8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BF8">
        <w:rPr>
          <w:rFonts w:ascii="Times New Roman" w:hAnsi="Times New Roman" w:cs="Times New Roman"/>
          <w:sz w:val="28"/>
          <w:szCs w:val="28"/>
        </w:rPr>
        <w:t>общее знакомство с соответствующими религиями, их культурой (история, традиции, нравственные ценности, выдающиеся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BF8">
        <w:rPr>
          <w:rFonts w:ascii="Times New Roman" w:hAnsi="Times New Roman" w:cs="Times New Roman"/>
          <w:sz w:val="28"/>
          <w:szCs w:val="28"/>
        </w:rPr>
        <w:t xml:space="preserve"> представители и т.п.) и </w:t>
      </w:r>
      <w:r w:rsidRPr="00254BF8">
        <w:rPr>
          <w:rFonts w:ascii="Times New Roman" w:hAnsi="Times New Roman" w:cs="Times New Roman"/>
          <w:bCs/>
          <w:iCs/>
          <w:sz w:val="28"/>
          <w:szCs w:val="28"/>
        </w:rPr>
        <w:t>не включает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54BF8">
        <w:rPr>
          <w:rFonts w:ascii="Times New Roman" w:hAnsi="Times New Roman" w:cs="Times New Roman"/>
          <w:bCs/>
          <w:iCs/>
          <w:sz w:val="28"/>
          <w:szCs w:val="28"/>
        </w:rPr>
        <w:t xml:space="preserve"> специальных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54BF8">
        <w:rPr>
          <w:rFonts w:ascii="Times New Roman" w:hAnsi="Times New Roman" w:cs="Times New Roman"/>
          <w:bCs/>
          <w:iCs/>
          <w:sz w:val="28"/>
          <w:szCs w:val="28"/>
        </w:rPr>
        <w:t xml:space="preserve"> богословских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54BF8">
        <w:rPr>
          <w:rFonts w:ascii="Times New Roman" w:hAnsi="Times New Roman" w:cs="Times New Roman"/>
          <w:bCs/>
          <w:iCs/>
          <w:sz w:val="28"/>
          <w:szCs w:val="28"/>
        </w:rPr>
        <w:t>вопросов</w:t>
      </w:r>
      <w:r w:rsidRPr="00254BF8">
        <w:rPr>
          <w:rFonts w:ascii="Times New Roman" w:hAnsi="Times New Roman" w:cs="Times New Roman"/>
          <w:sz w:val="28"/>
          <w:szCs w:val="28"/>
        </w:rPr>
        <w:t xml:space="preserve">. Преподавание курса ОРКСЭ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BF8">
        <w:rPr>
          <w:rFonts w:ascii="Times New Roman" w:hAnsi="Times New Roman" w:cs="Times New Roman"/>
          <w:sz w:val="28"/>
          <w:szCs w:val="28"/>
        </w:rPr>
        <w:t xml:space="preserve">основывается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BF8">
        <w:rPr>
          <w:rFonts w:ascii="Times New Roman" w:hAnsi="Times New Roman" w:cs="Times New Roman"/>
          <w:sz w:val="28"/>
          <w:szCs w:val="28"/>
        </w:rPr>
        <w:t xml:space="preserve">на общих для всех россиян гражданских нравственных ценностях и нормах. </w:t>
      </w:r>
      <w:r w:rsidRPr="00254BF8">
        <w:rPr>
          <w:rFonts w:ascii="Times New Roman" w:hAnsi="Times New Roman" w:cs="Times New Roman"/>
          <w:bCs/>
          <w:sz w:val="28"/>
          <w:szCs w:val="28"/>
        </w:rPr>
        <w:t>Один из модулей курса изучается учащимся с его согласия и по выбору его родителей (законных представителей).</w:t>
      </w:r>
    </w:p>
    <w:p w:rsidR="000C66CB" w:rsidRDefault="000C66CB" w:rsidP="000C66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4BF8">
        <w:rPr>
          <w:rFonts w:ascii="Times New Roman" w:hAnsi="Times New Roman" w:cs="Times New Roman"/>
          <w:sz w:val="28"/>
          <w:szCs w:val="28"/>
        </w:rPr>
        <w:t>Выбор модуля, изучаемого в рамках курса ОРКСЭ, осуществлялся 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BF8">
        <w:rPr>
          <w:rFonts w:ascii="Times New Roman" w:hAnsi="Times New Roman" w:cs="Times New Roman"/>
          <w:sz w:val="28"/>
          <w:szCs w:val="28"/>
        </w:rPr>
        <w:t xml:space="preserve"> 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BF8">
        <w:rPr>
          <w:rFonts w:ascii="Times New Roman" w:hAnsi="Times New Roman" w:cs="Times New Roman"/>
          <w:sz w:val="28"/>
          <w:szCs w:val="28"/>
        </w:rPr>
        <w:t xml:space="preserve"> представителями)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BF8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293334">
        <w:rPr>
          <w:rFonts w:ascii="Times New Roman" w:hAnsi="Times New Roman" w:cs="Times New Roman"/>
          <w:sz w:val="28"/>
          <w:szCs w:val="28"/>
        </w:rPr>
        <w:t xml:space="preserve">. Выбор зафиксирован в  протоколах  родительских  собраний  и письменных  заявлениях  родителей   </w:t>
      </w:r>
      <w:r w:rsidRPr="002673C4">
        <w:rPr>
          <w:rFonts w:ascii="Times New Roman" w:hAnsi="Times New Roman" w:cs="Times New Roman"/>
          <w:sz w:val="28"/>
          <w:szCs w:val="28"/>
        </w:rPr>
        <w:t>(протокол № 1 от 28.04.2018 г.).   Большинство родителей выбрали модуль «Основы православной культуры».</w:t>
      </w:r>
      <w:r w:rsidRPr="00254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6CB" w:rsidRPr="00E35CC5" w:rsidRDefault="000C66CB" w:rsidP="000C66CB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C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целях обеспечения индивидуальных потребностей обучающихся, часть учебного плана, формируемая участниками образовательных отношений, предусматривает: </w:t>
      </w:r>
    </w:p>
    <w:p w:rsidR="000C66CB" w:rsidRPr="00E35CC5" w:rsidRDefault="000C66CB" w:rsidP="000C66C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-57" w:hanging="29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C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учебные занятия, обеспечивающие различные интересы </w:t>
      </w:r>
      <w:proofErr w:type="gramStart"/>
      <w:r w:rsidRPr="00E35CC5">
        <w:rPr>
          <w:rFonts w:ascii="Times New Roman" w:eastAsia="Calibri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E35C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</w:p>
    <w:p w:rsidR="000C66CB" w:rsidRPr="00D030A1" w:rsidRDefault="000C66CB" w:rsidP="000C66C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right="-57" w:hanging="29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5CC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учебные занятия, направленные на реализацию региональных особенностей содержания образования; </w:t>
      </w:r>
    </w:p>
    <w:p w:rsidR="000C66CB" w:rsidRDefault="000C66CB" w:rsidP="000C66CB">
      <w:pPr>
        <w:autoSpaceDE w:val="0"/>
        <w:autoSpaceDN w:val="0"/>
        <w:adjustRightInd w:val="0"/>
        <w:spacing w:after="0" w:line="240" w:lineRule="auto"/>
        <w:ind w:left="567" w:right="-5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0C66CB" w:rsidRPr="00E35CC5" w:rsidRDefault="000C66CB" w:rsidP="000C66CB">
      <w:pPr>
        <w:autoSpaceDE w:val="0"/>
        <w:autoSpaceDN w:val="0"/>
        <w:adjustRightInd w:val="0"/>
        <w:spacing w:after="0" w:line="240" w:lineRule="auto"/>
        <w:ind w:left="567" w:right="-5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и 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распределена</w:t>
      </w:r>
      <w:proofErr w:type="gramEnd"/>
      <w:r w:rsidRPr="00E35CC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на изучение предметов:</w:t>
      </w:r>
    </w:p>
    <w:p w:rsidR="000C66CB" w:rsidRPr="00E35CC5" w:rsidRDefault="000C66CB" w:rsidP="000C66C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tbl>
      <w:tblPr>
        <w:tblStyle w:val="a5"/>
        <w:tblW w:w="10564" w:type="dxa"/>
        <w:jc w:val="center"/>
        <w:tblLook w:val="04A0" w:firstRow="1" w:lastRow="0" w:firstColumn="1" w:lastColumn="0" w:noHBand="0" w:noVBand="1"/>
      </w:tblPr>
      <w:tblGrid>
        <w:gridCol w:w="2085"/>
        <w:gridCol w:w="1380"/>
        <w:gridCol w:w="1277"/>
        <w:gridCol w:w="1346"/>
        <w:gridCol w:w="1282"/>
        <w:gridCol w:w="3194"/>
      </w:tblGrid>
      <w:tr w:rsidR="000C66CB" w:rsidRPr="00E35CC5" w:rsidTr="00763889">
        <w:trPr>
          <w:trHeight w:val="313"/>
          <w:jc w:val="center"/>
        </w:trPr>
        <w:tc>
          <w:tcPr>
            <w:tcW w:w="2085" w:type="dxa"/>
            <w:vMerge w:val="restart"/>
            <w:shd w:val="clear" w:color="auto" w:fill="auto"/>
            <w:vAlign w:val="center"/>
          </w:tcPr>
          <w:p w:rsidR="000C66CB" w:rsidRPr="00E35CC5" w:rsidRDefault="000C66CB" w:rsidP="0076388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35CC5">
              <w:rPr>
                <w:bCs/>
                <w:i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C66CB" w:rsidRPr="00E35CC5" w:rsidRDefault="000C66CB" w:rsidP="0076388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35CC5">
              <w:rPr>
                <w:bCs/>
                <w:iCs/>
                <w:color w:val="000000"/>
                <w:sz w:val="24"/>
                <w:szCs w:val="24"/>
              </w:rPr>
              <w:t>1 классы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C66CB" w:rsidRPr="00E35CC5" w:rsidRDefault="000C66CB" w:rsidP="0076388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35CC5">
              <w:rPr>
                <w:bCs/>
                <w:iCs/>
                <w:color w:val="000000"/>
                <w:sz w:val="24"/>
                <w:szCs w:val="24"/>
              </w:rPr>
              <w:t>2 классы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0C66CB" w:rsidRPr="00E35CC5" w:rsidRDefault="000C66CB" w:rsidP="0076388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35CC5">
              <w:rPr>
                <w:bCs/>
                <w:iCs/>
                <w:color w:val="000000"/>
                <w:sz w:val="24"/>
                <w:szCs w:val="24"/>
              </w:rPr>
              <w:t>3 классы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C66CB" w:rsidRPr="00E35CC5" w:rsidRDefault="000C66CB" w:rsidP="0076388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35CC5">
              <w:rPr>
                <w:bCs/>
                <w:iCs/>
                <w:color w:val="000000"/>
                <w:sz w:val="24"/>
                <w:szCs w:val="24"/>
              </w:rPr>
              <w:t>4 классы</w:t>
            </w:r>
          </w:p>
        </w:tc>
        <w:tc>
          <w:tcPr>
            <w:tcW w:w="3194" w:type="dxa"/>
            <w:vMerge w:val="restart"/>
            <w:shd w:val="clear" w:color="auto" w:fill="auto"/>
            <w:vAlign w:val="center"/>
          </w:tcPr>
          <w:p w:rsidR="000C66CB" w:rsidRPr="00E35CC5" w:rsidRDefault="000C66CB" w:rsidP="0076388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35CC5">
              <w:rPr>
                <w:bCs/>
                <w:iCs/>
                <w:color w:val="000000"/>
                <w:sz w:val="24"/>
                <w:szCs w:val="24"/>
              </w:rPr>
              <w:t>Цель введения</w:t>
            </w:r>
          </w:p>
        </w:tc>
      </w:tr>
      <w:tr w:rsidR="000C66CB" w:rsidRPr="00E35CC5" w:rsidTr="00763889">
        <w:trPr>
          <w:trHeight w:val="246"/>
          <w:jc w:val="center"/>
        </w:trPr>
        <w:tc>
          <w:tcPr>
            <w:tcW w:w="2085" w:type="dxa"/>
            <w:vMerge/>
            <w:shd w:val="clear" w:color="auto" w:fill="auto"/>
            <w:vAlign w:val="center"/>
          </w:tcPr>
          <w:p w:rsidR="000C66CB" w:rsidRPr="00E35CC5" w:rsidRDefault="000C66CB" w:rsidP="0076388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285" w:type="dxa"/>
            <w:gridSpan w:val="4"/>
            <w:shd w:val="clear" w:color="auto" w:fill="auto"/>
            <w:vAlign w:val="center"/>
          </w:tcPr>
          <w:p w:rsidR="000C66CB" w:rsidRPr="00E35CC5" w:rsidRDefault="000C66CB" w:rsidP="0076388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35CC5">
              <w:rPr>
                <w:bCs/>
                <w:i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94" w:type="dxa"/>
            <w:vMerge/>
            <w:shd w:val="clear" w:color="auto" w:fill="auto"/>
            <w:vAlign w:val="center"/>
          </w:tcPr>
          <w:p w:rsidR="000C66CB" w:rsidRPr="00E35CC5" w:rsidRDefault="000C66CB" w:rsidP="0076388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0C66CB" w:rsidRPr="00E35CC5" w:rsidTr="00763889">
        <w:trPr>
          <w:trHeight w:val="392"/>
          <w:jc w:val="center"/>
        </w:trPr>
        <w:tc>
          <w:tcPr>
            <w:tcW w:w="20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C66CB" w:rsidRPr="00E35CC5" w:rsidRDefault="000C66CB" w:rsidP="0076388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4"/>
                <w:szCs w:val="24"/>
              </w:rPr>
            </w:pPr>
            <w:r w:rsidRPr="00E35CC5">
              <w:rPr>
                <w:bCs/>
                <w:i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3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C66CB" w:rsidRPr="00E35CC5" w:rsidRDefault="000B78D4" w:rsidP="0076388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C66CB" w:rsidRPr="00E35CC5" w:rsidRDefault="000B78D4" w:rsidP="0076388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C66CB" w:rsidRPr="00E35CC5" w:rsidRDefault="000C66CB" w:rsidP="0076388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C66CB" w:rsidRPr="00E35CC5" w:rsidRDefault="000B78D4" w:rsidP="0076388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19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0C66CB" w:rsidRPr="00E35CC5" w:rsidRDefault="000C66CB" w:rsidP="0076388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35CC5">
              <w:rPr>
                <w:bCs/>
                <w:iCs/>
                <w:color w:val="000000"/>
                <w:sz w:val="24"/>
                <w:szCs w:val="24"/>
              </w:rPr>
              <w:t>для качественного  усвоения учебных программ и  усвоения стандартов образования</w:t>
            </w:r>
          </w:p>
        </w:tc>
      </w:tr>
      <w:tr w:rsidR="000C66CB" w:rsidRPr="00E35CC5" w:rsidTr="00763889">
        <w:trPr>
          <w:jc w:val="center"/>
        </w:trPr>
        <w:tc>
          <w:tcPr>
            <w:tcW w:w="2085" w:type="dxa"/>
            <w:shd w:val="clear" w:color="auto" w:fill="auto"/>
            <w:vAlign w:val="center"/>
          </w:tcPr>
          <w:p w:rsidR="000C66CB" w:rsidRPr="00E35CC5" w:rsidRDefault="000C66CB" w:rsidP="0076388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4"/>
                <w:szCs w:val="24"/>
                <w:highlight w:val="yellow"/>
              </w:rPr>
            </w:pPr>
            <w:r w:rsidRPr="00E35CC5">
              <w:rPr>
                <w:bCs/>
                <w:i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C66CB" w:rsidRPr="00E35CC5" w:rsidRDefault="000B78D4" w:rsidP="0076388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C66CB" w:rsidRPr="00E35CC5" w:rsidRDefault="000B78D4" w:rsidP="0076388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0C66CB" w:rsidRPr="00E35CC5" w:rsidRDefault="000B78D4" w:rsidP="0076388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C66CB" w:rsidRPr="00E35CC5" w:rsidRDefault="000B78D4" w:rsidP="0076388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1,5</w:t>
            </w:r>
          </w:p>
        </w:tc>
        <w:tc>
          <w:tcPr>
            <w:tcW w:w="3194" w:type="dxa"/>
            <w:vMerge/>
            <w:shd w:val="clear" w:color="auto" w:fill="auto"/>
          </w:tcPr>
          <w:p w:rsidR="000C66CB" w:rsidRPr="00E35CC5" w:rsidRDefault="000C66CB" w:rsidP="0076388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0C66CB" w:rsidRPr="00E35CC5" w:rsidTr="00763889">
        <w:trPr>
          <w:jc w:val="center"/>
        </w:trPr>
        <w:tc>
          <w:tcPr>
            <w:tcW w:w="2085" w:type="dxa"/>
            <w:shd w:val="clear" w:color="auto" w:fill="auto"/>
            <w:vAlign w:val="center"/>
          </w:tcPr>
          <w:p w:rsidR="000C66CB" w:rsidRPr="00E35CC5" w:rsidRDefault="000C66CB" w:rsidP="0076388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4"/>
                <w:szCs w:val="24"/>
              </w:rPr>
            </w:pPr>
            <w:r w:rsidRPr="00E35CC5">
              <w:rPr>
                <w:bCs/>
                <w:i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0C66CB" w:rsidRPr="00E35CC5" w:rsidRDefault="000C66CB" w:rsidP="0076388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C66CB" w:rsidRPr="00E35CC5" w:rsidRDefault="000C66CB" w:rsidP="0076388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0C66CB" w:rsidRPr="00E35CC5" w:rsidRDefault="000C66CB" w:rsidP="0076388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C66CB" w:rsidRPr="00E35CC5" w:rsidRDefault="000C66CB" w:rsidP="0076388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4" w:type="dxa"/>
            <w:vMerge/>
            <w:shd w:val="clear" w:color="auto" w:fill="auto"/>
          </w:tcPr>
          <w:p w:rsidR="000C66CB" w:rsidRPr="00E35CC5" w:rsidRDefault="000C66CB" w:rsidP="0076388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0C66CB" w:rsidRPr="00E35CC5" w:rsidTr="00763889">
        <w:trPr>
          <w:jc w:val="center"/>
        </w:trPr>
        <w:tc>
          <w:tcPr>
            <w:tcW w:w="20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C66CB" w:rsidRPr="00E35CC5" w:rsidRDefault="000C66CB" w:rsidP="00763889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3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C66CB" w:rsidRPr="00E35CC5" w:rsidRDefault="000C66CB" w:rsidP="0076388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C66CB" w:rsidRPr="00E35CC5" w:rsidRDefault="000C66CB" w:rsidP="0076388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C66CB" w:rsidRPr="00E35CC5" w:rsidRDefault="000C66CB" w:rsidP="0076388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C66CB" w:rsidRPr="00E35CC5" w:rsidRDefault="000C66CB" w:rsidP="0076388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C66CB" w:rsidRPr="00E35CC5" w:rsidRDefault="000C66CB" w:rsidP="0076388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0C66CB" w:rsidRPr="00E35CC5" w:rsidRDefault="000C66CB" w:rsidP="000C66C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66CB" w:rsidRPr="00A57156" w:rsidRDefault="000C66CB" w:rsidP="000C66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673C4" w:rsidRDefault="000C66CB" w:rsidP="002673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 учебных  предметов  организовано  с  использованием  учебников,  входящих  в  федеральный  перечень  учебников,  утверждённый  приказом  Министерства  образования  и  науки  Российской  Федерации.</w:t>
      </w:r>
    </w:p>
    <w:p w:rsidR="000C66CB" w:rsidRPr="009F33F1" w:rsidRDefault="009B5F52" w:rsidP="009B5F5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</w:t>
      </w:r>
      <w:r w:rsidR="000C66CB" w:rsidRPr="00254BF8">
        <w:rPr>
          <w:rFonts w:ascii="Times New Roman" w:hAnsi="Times New Roman" w:cs="Times New Roman"/>
          <w:b/>
          <w:sz w:val="28"/>
          <w:szCs w:val="28"/>
        </w:rPr>
        <w:t>Таблица-сетка  часов  учебного  плана</w:t>
      </w:r>
    </w:p>
    <w:p w:rsidR="000C66CB" w:rsidRPr="00254BF8" w:rsidRDefault="000C66CB" w:rsidP="009B5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BF8">
        <w:rPr>
          <w:rFonts w:ascii="Times New Roman" w:hAnsi="Times New Roman" w:cs="Times New Roman"/>
          <w:b/>
          <w:sz w:val="28"/>
          <w:szCs w:val="28"/>
        </w:rPr>
        <w:t>Начальное общее образование</w:t>
      </w:r>
    </w:p>
    <w:p w:rsidR="000C66CB" w:rsidRPr="001A08FD" w:rsidRDefault="000C66CB" w:rsidP="009B5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</w:t>
      </w:r>
      <w:r w:rsidRPr="00254BF8">
        <w:rPr>
          <w:rFonts w:ascii="Times New Roman" w:hAnsi="Times New Roman" w:cs="Times New Roman"/>
          <w:b/>
          <w:sz w:val="28"/>
          <w:szCs w:val="28"/>
        </w:rPr>
        <w:t xml:space="preserve"> классы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5"/>
        <w:gridCol w:w="6"/>
        <w:gridCol w:w="2854"/>
        <w:gridCol w:w="784"/>
        <w:gridCol w:w="784"/>
        <w:gridCol w:w="784"/>
        <w:gridCol w:w="784"/>
        <w:gridCol w:w="921"/>
      </w:tblGrid>
      <w:tr w:rsidR="000C66CB" w:rsidTr="009B5F52"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Учебные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предметы  </w:t>
            </w:r>
          </w:p>
          <w:p w:rsidR="000C66CB" w:rsidRDefault="000C66CB" w:rsidP="009B5F5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</w:t>
            </w:r>
          </w:p>
          <w:p w:rsidR="000C66CB" w:rsidRDefault="000C66CB" w:rsidP="009B5F5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 часов  в  неделю</w:t>
            </w:r>
          </w:p>
          <w:p w:rsidR="000C66CB" w:rsidRDefault="000C66CB" w:rsidP="009B5F5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</w:tr>
      <w:tr w:rsidR="000C66CB" w:rsidTr="009B5F52"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6CB" w:rsidRDefault="000C66CB" w:rsidP="009B5F5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6CB" w:rsidRDefault="000C66CB" w:rsidP="009B5F5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6CB" w:rsidRDefault="000C66CB" w:rsidP="009B5F5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C66CB" w:rsidTr="009B5F52"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6CB" w:rsidRDefault="000C66CB" w:rsidP="009B5F5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6CB" w:rsidRDefault="000C66CB" w:rsidP="009B5F5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6CB" w:rsidRDefault="000C66CB" w:rsidP="009B5F5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6CB" w:rsidRDefault="000C66CB" w:rsidP="009B5F5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6CB" w:rsidRDefault="000C66CB" w:rsidP="009B5F5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C66CB" w:rsidTr="009B5F52">
        <w:tc>
          <w:tcPr>
            <w:tcW w:w="101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0C66CB" w:rsidTr="009B5F52"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A536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Русский язык и литературное чтение 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A536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9B5F52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A53627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</w:t>
            </w:r>
          </w:p>
        </w:tc>
      </w:tr>
      <w:tr w:rsidR="000C66CB" w:rsidTr="009B5F52">
        <w:trPr>
          <w:trHeight w:val="585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6CB" w:rsidRDefault="000C66CB" w:rsidP="00A536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A536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9B5F52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A53627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9B5F52" w:rsidTr="009B5F52">
        <w:trPr>
          <w:trHeight w:val="285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5F52" w:rsidRPr="004C29A4" w:rsidRDefault="009B5F52" w:rsidP="00A53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Родной язык и родная литература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52" w:rsidRPr="004C29A4" w:rsidRDefault="00A53627" w:rsidP="00A536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Родной (русский) язык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52" w:rsidRDefault="009B5F52" w:rsidP="00763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9B5F52" w:rsidRPr="004C29A4" w:rsidRDefault="009B5F52" w:rsidP="00763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52" w:rsidRDefault="009B5F52" w:rsidP="00763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9B5F52" w:rsidRPr="004C29A4" w:rsidRDefault="009B5F52" w:rsidP="00763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52" w:rsidRDefault="009B5F52" w:rsidP="00763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9B5F52" w:rsidRPr="004C29A4" w:rsidRDefault="009B5F52" w:rsidP="00763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52" w:rsidRDefault="009B5F52" w:rsidP="00763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9B5F52" w:rsidRPr="004C29A4" w:rsidRDefault="009B5F52" w:rsidP="00763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52" w:rsidRPr="004C29A4" w:rsidRDefault="009B5F52" w:rsidP="00763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9B5F52" w:rsidTr="009B5F52">
        <w:trPr>
          <w:trHeight w:val="285"/>
        </w:trPr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52" w:rsidRDefault="009B5F52" w:rsidP="00A536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52" w:rsidRDefault="009B5F52" w:rsidP="00A536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Литературное чтение на родном языке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52" w:rsidRDefault="009B5F52" w:rsidP="00763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9B5F52" w:rsidRDefault="009B5F52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52" w:rsidRDefault="009B5F52" w:rsidP="00763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9B5F52" w:rsidRDefault="009B5F52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52" w:rsidRDefault="009B5F52" w:rsidP="00763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9B5F52" w:rsidRDefault="009B5F52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52" w:rsidRDefault="009B5F52" w:rsidP="00763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9B5F52" w:rsidRDefault="009B5F52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52" w:rsidRDefault="009B5F52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0C66CB" w:rsidTr="009B5F52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6CB" w:rsidRDefault="000C66CB" w:rsidP="00A536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A536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Иностранный язык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(английский/немецкий)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0C66CB" w:rsidTr="009B5F52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A536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A536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</w:t>
            </w:r>
          </w:p>
        </w:tc>
      </w:tr>
      <w:tr w:rsidR="000C66CB" w:rsidTr="009B5F52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A536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A536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0C66CB" w:rsidTr="009B5F52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A536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 религиозных  культур  и  светской  этики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Pr="002673C4" w:rsidRDefault="000C66CB" w:rsidP="00A536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73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 православной  культуры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0C66CB" w:rsidTr="00A53627">
        <w:trPr>
          <w:trHeight w:val="344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B" w:rsidRDefault="000C66CB" w:rsidP="00A536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C66CB" w:rsidRDefault="000C66CB" w:rsidP="00A536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Искусство 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B" w:rsidRDefault="000C66CB" w:rsidP="00A536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Музыка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B" w:rsidRDefault="000C66CB" w:rsidP="00A53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B" w:rsidRDefault="000C66CB" w:rsidP="00A53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B" w:rsidRDefault="000C66CB" w:rsidP="00A53627">
            <w:pPr>
              <w:tabs>
                <w:tab w:val="left" w:pos="180"/>
                <w:tab w:val="center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B" w:rsidRDefault="000C66CB" w:rsidP="00A53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B" w:rsidRDefault="000C66CB" w:rsidP="00A53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0C66CB" w:rsidTr="009B5F52"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6CB" w:rsidRDefault="000C66CB" w:rsidP="00A536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A536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0C66CB" w:rsidTr="009B5F52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A536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Технология 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A536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0C66CB" w:rsidTr="009B5F52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A536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A536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</w:p>
        </w:tc>
      </w:tr>
      <w:tr w:rsidR="000C66CB" w:rsidTr="00A53627"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A5362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A536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 5-дневной неделе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A53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A5362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A53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A5362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0C66CB" w:rsidTr="00A53627"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6CB" w:rsidRDefault="000C66CB" w:rsidP="00A5362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A5362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 6-дневной неделе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A53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A5362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A53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A5362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A53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A5362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A536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  <w:r w:rsidR="00A5362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0C66CB" w:rsidTr="00F97F33">
        <w:trPr>
          <w:trHeight w:val="1050"/>
        </w:trPr>
        <w:tc>
          <w:tcPr>
            <w:tcW w:w="6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B" w:rsidRDefault="000C66CB" w:rsidP="00A5362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Часть, формируемая участниками</w:t>
            </w:r>
          </w:p>
          <w:p w:rsidR="000C66CB" w:rsidRDefault="000C66CB" w:rsidP="00A5362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образовательных отношений</w:t>
            </w:r>
          </w:p>
          <w:p w:rsidR="000C66CB" w:rsidRDefault="000C66CB" w:rsidP="00A5362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(5-дневная   учебная  неделя)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C7716E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F97F33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F97F33" w:rsidTr="00763889">
        <w:trPr>
          <w:trHeight w:val="180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F33" w:rsidRDefault="00F97F33" w:rsidP="007638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 и литературное  чтение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3" w:rsidRDefault="00F97F33" w:rsidP="007638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33" w:rsidRDefault="00F97F33" w:rsidP="00763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33" w:rsidRDefault="00F97F33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33" w:rsidRDefault="00F97F33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33" w:rsidRDefault="00F97F33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33" w:rsidRPr="00F97F33" w:rsidRDefault="00F97F33" w:rsidP="00763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97F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1,5</w:t>
            </w:r>
          </w:p>
        </w:tc>
      </w:tr>
      <w:tr w:rsidR="00F97F33" w:rsidTr="00763889">
        <w:trPr>
          <w:trHeight w:val="135"/>
        </w:trPr>
        <w:tc>
          <w:tcPr>
            <w:tcW w:w="3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F33" w:rsidRDefault="00F97F33" w:rsidP="00A5362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33" w:rsidRDefault="00F97F33" w:rsidP="00A5362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33" w:rsidRDefault="00F97F33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33" w:rsidRDefault="00F97F33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33" w:rsidRDefault="00F97F33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33" w:rsidRDefault="00F97F33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33" w:rsidRPr="00F97F33" w:rsidRDefault="00F97F33" w:rsidP="00763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97F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1,5</w:t>
            </w:r>
          </w:p>
        </w:tc>
      </w:tr>
      <w:tr w:rsidR="00F97F33" w:rsidTr="00763889">
        <w:trPr>
          <w:trHeight w:val="705"/>
        </w:trPr>
        <w:tc>
          <w:tcPr>
            <w:tcW w:w="6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33" w:rsidRDefault="00F97F33" w:rsidP="00A5362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Часть, формируемая</w:t>
            </w:r>
          </w:p>
          <w:p w:rsidR="00F97F33" w:rsidRDefault="00F97F33" w:rsidP="00A5362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участниками</w:t>
            </w:r>
          </w:p>
          <w:p w:rsidR="00F97F33" w:rsidRDefault="00F97F33" w:rsidP="00A5362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образовательных  отношений</w:t>
            </w:r>
          </w:p>
          <w:p w:rsidR="00F97F33" w:rsidRDefault="00F97F33" w:rsidP="00A5362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6-дневная   учебная  неделя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33" w:rsidRDefault="00F97F33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33" w:rsidRDefault="00F97F33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33" w:rsidRDefault="00F97F33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33" w:rsidRDefault="00F97F33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F33" w:rsidRDefault="00F97F33" w:rsidP="00F97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</w:p>
        </w:tc>
      </w:tr>
      <w:tr w:rsidR="00A53627" w:rsidTr="009B5F52"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27" w:rsidRDefault="00A53627" w:rsidP="00A536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 и литературное  чтение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27" w:rsidRDefault="00A53627" w:rsidP="00A536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27" w:rsidRDefault="00A53627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27" w:rsidRDefault="00A53627" w:rsidP="00763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27" w:rsidRDefault="00A53627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27" w:rsidRDefault="00C7716E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27" w:rsidRDefault="00F97F33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A53627" w:rsidTr="009B5F52"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627" w:rsidRDefault="00A53627" w:rsidP="00A536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27" w:rsidRDefault="00A53627" w:rsidP="00A536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27" w:rsidRDefault="00A53627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27" w:rsidRDefault="00A53627" w:rsidP="00763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27" w:rsidRDefault="00A53627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27" w:rsidRDefault="00C7716E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627" w:rsidRDefault="00F97F33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0C66CB" w:rsidTr="009B5F52"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A536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A536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0C66CB" w:rsidTr="009B5F52"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6CB" w:rsidRDefault="000C66CB" w:rsidP="00A536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A536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0C66CB" w:rsidTr="009B5F52">
        <w:tc>
          <w:tcPr>
            <w:tcW w:w="6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99</w:t>
            </w:r>
          </w:p>
        </w:tc>
      </w:tr>
      <w:tr w:rsidR="000C66CB" w:rsidTr="009B5F52">
        <w:tc>
          <w:tcPr>
            <w:tcW w:w="6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Максимально допустимая недельная нагрузка  </w:t>
            </w:r>
          </w:p>
          <w:p w:rsidR="000C66CB" w:rsidRDefault="000C66CB" w:rsidP="009B5F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6-дневная  учебная  неделя)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78</w:t>
            </w:r>
          </w:p>
        </w:tc>
      </w:tr>
      <w:tr w:rsidR="000C66CB" w:rsidTr="009B5F52">
        <w:tc>
          <w:tcPr>
            <w:tcW w:w="6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Максимально допустимая недельная нагрузка </w:t>
            </w:r>
          </w:p>
          <w:p w:rsidR="000C66CB" w:rsidRDefault="000C66CB" w:rsidP="009B5F5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5-дневная  учебная  неделя)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6CB" w:rsidRDefault="000C66CB" w:rsidP="009B5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</w:t>
            </w:r>
          </w:p>
        </w:tc>
      </w:tr>
    </w:tbl>
    <w:p w:rsidR="000C66CB" w:rsidRDefault="000C66CB" w:rsidP="009B5F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66CB" w:rsidRDefault="000C66CB" w:rsidP="009B5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6CB" w:rsidRDefault="000C66CB" w:rsidP="000C6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66CB" w:rsidRDefault="000C66CB" w:rsidP="000C6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66CB" w:rsidRDefault="000C66CB" w:rsidP="000C6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66CB" w:rsidRDefault="000C66CB" w:rsidP="000C6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33F1" w:rsidRDefault="009F33F1" w:rsidP="00231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33F1" w:rsidRDefault="009F33F1" w:rsidP="00231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33F1" w:rsidRDefault="009F33F1" w:rsidP="00231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3C4" w:rsidRDefault="002673C4" w:rsidP="00231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3C4" w:rsidRDefault="002673C4" w:rsidP="00231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26F" w:rsidRDefault="003F126F" w:rsidP="0079426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F126F" w:rsidSect="00105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B7D" w:rsidRDefault="00A22B7D" w:rsidP="00617F90">
      <w:pPr>
        <w:spacing w:after="0" w:line="240" w:lineRule="auto"/>
      </w:pPr>
      <w:r>
        <w:separator/>
      </w:r>
    </w:p>
  </w:endnote>
  <w:endnote w:type="continuationSeparator" w:id="0">
    <w:p w:rsidR="00A22B7D" w:rsidRDefault="00A22B7D" w:rsidP="00617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B7D" w:rsidRDefault="00A22B7D" w:rsidP="00617F90">
      <w:pPr>
        <w:spacing w:after="0" w:line="240" w:lineRule="auto"/>
      </w:pPr>
      <w:r>
        <w:separator/>
      </w:r>
    </w:p>
  </w:footnote>
  <w:footnote w:type="continuationSeparator" w:id="0">
    <w:p w:rsidR="00A22B7D" w:rsidRDefault="00A22B7D" w:rsidP="00617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7341"/>
    <w:multiLevelType w:val="hybridMultilevel"/>
    <w:tmpl w:val="B2A4C458"/>
    <w:lvl w:ilvl="0" w:tplc="0E94990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FE2BE1"/>
    <w:multiLevelType w:val="hybridMultilevel"/>
    <w:tmpl w:val="1E586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20B2E"/>
    <w:multiLevelType w:val="hybridMultilevel"/>
    <w:tmpl w:val="311A2328"/>
    <w:lvl w:ilvl="0" w:tplc="111E2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0C4356"/>
    <w:multiLevelType w:val="hybridMultilevel"/>
    <w:tmpl w:val="F28A4A9A"/>
    <w:lvl w:ilvl="0" w:tplc="111E2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5B1AC6"/>
    <w:multiLevelType w:val="hybridMultilevel"/>
    <w:tmpl w:val="CE82DAF8"/>
    <w:lvl w:ilvl="0" w:tplc="041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893DBB"/>
    <w:multiLevelType w:val="hybridMultilevel"/>
    <w:tmpl w:val="26AE47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CA741C"/>
    <w:multiLevelType w:val="hybridMultilevel"/>
    <w:tmpl w:val="36FCCA0A"/>
    <w:lvl w:ilvl="0" w:tplc="0E94990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FAD"/>
    <w:rsid w:val="00001CE5"/>
    <w:rsid w:val="000174C2"/>
    <w:rsid w:val="00023E8B"/>
    <w:rsid w:val="00042B16"/>
    <w:rsid w:val="00055C7F"/>
    <w:rsid w:val="00086EC0"/>
    <w:rsid w:val="000B42F7"/>
    <w:rsid w:val="000B4A55"/>
    <w:rsid w:val="000B78D4"/>
    <w:rsid w:val="000C41D9"/>
    <w:rsid w:val="000C66CB"/>
    <w:rsid w:val="000F3C1C"/>
    <w:rsid w:val="000F476A"/>
    <w:rsid w:val="0010152F"/>
    <w:rsid w:val="00105B23"/>
    <w:rsid w:val="00112862"/>
    <w:rsid w:val="00137CDD"/>
    <w:rsid w:val="00152540"/>
    <w:rsid w:val="0016655F"/>
    <w:rsid w:val="001729C6"/>
    <w:rsid w:val="00172E26"/>
    <w:rsid w:val="00184B71"/>
    <w:rsid w:val="001A08FD"/>
    <w:rsid w:val="001B3962"/>
    <w:rsid w:val="001D6689"/>
    <w:rsid w:val="00200753"/>
    <w:rsid w:val="00206F66"/>
    <w:rsid w:val="00211B29"/>
    <w:rsid w:val="00225C6B"/>
    <w:rsid w:val="00231767"/>
    <w:rsid w:val="002460F0"/>
    <w:rsid w:val="00260DE0"/>
    <w:rsid w:val="002673C4"/>
    <w:rsid w:val="002735B5"/>
    <w:rsid w:val="002918A2"/>
    <w:rsid w:val="00293334"/>
    <w:rsid w:val="002B77F4"/>
    <w:rsid w:val="002C0877"/>
    <w:rsid w:val="002D2A75"/>
    <w:rsid w:val="002E000E"/>
    <w:rsid w:val="002E0794"/>
    <w:rsid w:val="002F7A61"/>
    <w:rsid w:val="003016D7"/>
    <w:rsid w:val="0030247A"/>
    <w:rsid w:val="00321620"/>
    <w:rsid w:val="003409FA"/>
    <w:rsid w:val="00361481"/>
    <w:rsid w:val="00362895"/>
    <w:rsid w:val="00377466"/>
    <w:rsid w:val="003A1AD1"/>
    <w:rsid w:val="003A2511"/>
    <w:rsid w:val="003A62B7"/>
    <w:rsid w:val="003B13E4"/>
    <w:rsid w:val="003C72D6"/>
    <w:rsid w:val="003E2901"/>
    <w:rsid w:val="003F126F"/>
    <w:rsid w:val="003F372B"/>
    <w:rsid w:val="003F7177"/>
    <w:rsid w:val="00423593"/>
    <w:rsid w:val="004317E2"/>
    <w:rsid w:val="00441EAF"/>
    <w:rsid w:val="00444F1C"/>
    <w:rsid w:val="0046002D"/>
    <w:rsid w:val="00460526"/>
    <w:rsid w:val="004709D5"/>
    <w:rsid w:val="00490CE1"/>
    <w:rsid w:val="004C02B9"/>
    <w:rsid w:val="004C7D62"/>
    <w:rsid w:val="004F5D80"/>
    <w:rsid w:val="00502FB8"/>
    <w:rsid w:val="00511ACC"/>
    <w:rsid w:val="00512D82"/>
    <w:rsid w:val="005140A7"/>
    <w:rsid w:val="00516EB6"/>
    <w:rsid w:val="00517FA9"/>
    <w:rsid w:val="00537FAD"/>
    <w:rsid w:val="005A019F"/>
    <w:rsid w:val="005A3069"/>
    <w:rsid w:val="005A4E99"/>
    <w:rsid w:val="005B25BB"/>
    <w:rsid w:val="005C1091"/>
    <w:rsid w:val="005D0CED"/>
    <w:rsid w:val="005D37A0"/>
    <w:rsid w:val="005E4095"/>
    <w:rsid w:val="006012E3"/>
    <w:rsid w:val="00613919"/>
    <w:rsid w:val="00617F90"/>
    <w:rsid w:val="006328A9"/>
    <w:rsid w:val="00633881"/>
    <w:rsid w:val="006426F8"/>
    <w:rsid w:val="006676C5"/>
    <w:rsid w:val="00675E2A"/>
    <w:rsid w:val="006F5057"/>
    <w:rsid w:val="00707348"/>
    <w:rsid w:val="00710595"/>
    <w:rsid w:val="00716977"/>
    <w:rsid w:val="007234CF"/>
    <w:rsid w:val="007241D7"/>
    <w:rsid w:val="00726ED8"/>
    <w:rsid w:val="00731B2A"/>
    <w:rsid w:val="00741A48"/>
    <w:rsid w:val="007450C7"/>
    <w:rsid w:val="00750AD3"/>
    <w:rsid w:val="00763889"/>
    <w:rsid w:val="00776E3D"/>
    <w:rsid w:val="0078339A"/>
    <w:rsid w:val="00794262"/>
    <w:rsid w:val="00795F62"/>
    <w:rsid w:val="007B301E"/>
    <w:rsid w:val="007B56B6"/>
    <w:rsid w:val="007B5F9B"/>
    <w:rsid w:val="007C6F2C"/>
    <w:rsid w:val="007F611F"/>
    <w:rsid w:val="007F6558"/>
    <w:rsid w:val="00800EA8"/>
    <w:rsid w:val="00803F2B"/>
    <w:rsid w:val="0080681E"/>
    <w:rsid w:val="00853383"/>
    <w:rsid w:val="00865673"/>
    <w:rsid w:val="008A7F4D"/>
    <w:rsid w:val="008B7637"/>
    <w:rsid w:val="008C65E7"/>
    <w:rsid w:val="009110EB"/>
    <w:rsid w:val="0091228B"/>
    <w:rsid w:val="00912A4D"/>
    <w:rsid w:val="00930A5B"/>
    <w:rsid w:val="00952627"/>
    <w:rsid w:val="00954461"/>
    <w:rsid w:val="00954F09"/>
    <w:rsid w:val="009556BE"/>
    <w:rsid w:val="009967CA"/>
    <w:rsid w:val="009B5F52"/>
    <w:rsid w:val="009C6127"/>
    <w:rsid w:val="009D73AE"/>
    <w:rsid w:val="009F2E5C"/>
    <w:rsid w:val="009F33F1"/>
    <w:rsid w:val="00A037B4"/>
    <w:rsid w:val="00A03E3A"/>
    <w:rsid w:val="00A15548"/>
    <w:rsid w:val="00A22B7D"/>
    <w:rsid w:val="00A26407"/>
    <w:rsid w:val="00A40B4D"/>
    <w:rsid w:val="00A5080D"/>
    <w:rsid w:val="00A53627"/>
    <w:rsid w:val="00A57156"/>
    <w:rsid w:val="00A667BD"/>
    <w:rsid w:val="00A76969"/>
    <w:rsid w:val="00A76A3D"/>
    <w:rsid w:val="00A8133B"/>
    <w:rsid w:val="00A8445B"/>
    <w:rsid w:val="00A917D4"/>
    <w:rsid w:val="00AA2067"/>
    <w:rsid w:val="00AA2156"/>
    <w:rsid w:val="00AA23BF"/>
    <w:rsid w:val="00AB589E"/>
    <w:rsid w:val="00AC3033"/>
    <w:rsid w:val="00B14314"/>
    <w:rsid w:val="00B1513E"/>
    <w:rsid w:val="00B21ED2"/>
    <w:rsid w:val="00B53E37"/>
    <w:rsid w:val="00B63EAA"/>
    <w:rsid w:val="00B66516"/>
    <w:rsid w:val="00B80982"/>
    <w:rsid w:val="00B84567"/>
    <w:rsid w:val="00B971CF"/>
    <w:rsid w:val="00BA66B0"/>
    <w:rsid w:val="00BB0ACB"/>
    <w:rsid w:val="00BB1281"/>
    <w:rsid w:val="00BB4488"/>
    <w:rsid w:val="00BB7B7B"/>
    <w:rsid w:val="00BC21BB"/>
    <w:rsid w:val="00BF3B2B"/>
    <w:rsid w:val="00C11CEB"/>
    <w:rsid w:val="00C33328"/>
    <w:rsid w:val="00C354AD"/>
    <w:rsid w:val="00C372C4"/>
    <w:rsid w:val="00C44C03"/>
    <w:rsid w:val="00C717E7"/>
    <w:rsid w:val="00C7716E"/>
    <w:rsid w:val="00C933E9"/>
    <w:rsid w:val="00C97ABB"/>
    <w:rsid w:val="00C97D14"/>
    <w:rsid w:val="00CA5218"/>
    <w:rsid w:val="00CC0B75"/>
    <w:rsid w:val="00CC2CEC"/>
    <w:rsid w:val="00CD0F17"/>
    <w:rsid w:val="00CD7D99"/>
    <w:rsid w:val="00CF49AA"/>
    <w:rsid w:val="00CF791D"/>
    <w:rsid w:val="00D030A1"/>
    <w:rsid w:val="00D06D5A"/>
    <w:rsid w:val="00D23314"/>
    <w:rsid w:val="00D274B6"/>
    <w:rsid w:val="00D34ECC"/>
    <w:rsid w:val="00D45393"/>
    <w:rsid w:val="00D87D20"/>
    <w:rsid w:val="00D9195E"/>
    <w:rsid w:val="00D97FD8"/>
    <w:rsid w:val="00DA36A1"/>
    <w:rsid w:val="00DA540B"/>
    <w:rsid w:val="00DA5E7D"/>
    <w:rsid w:val="00DB4835"/>
    <w:rsid w:val="00DC400C"/>
    <w:rsid w:val="00DD7AE8"/>
    <w:rsid w:val="00DF5279"/>
    <w:rsid w:val="00DF76EF"/>
    <w:rsid w:val="00E10F12"/>
    <w:rsid w:val="00E11F1B"/>
    <w:rsid w:val="00E1596E"/>
    <w:rsid w:val="00E331D7"/>
    <w:rsid w:val="00E42587"/>
    <w:rsid w:val="00E46502"/>
    <w:rsid w:val="00E81854"/>
    <w:rsid w:val="00E857D3"/>
    <w:rsid w:val="00E9033E"/>
    <w:rsid w:val="00E97441"/>
    <w:rsid w:val="00EA43F0"/>
    <w:rsid w:val="00EC3FF3"/>
    <w:rsid w:val="00ED6A1C"/>
    <w:rsid w:val="00EF5ECB"/>
    <w:rsid w:val="00F04D89"/>
    <w:rsid w:val="00F23487"/>
    <w:rsid w:val="00F252B1"/>
    <w:rsid w:val="00F32ABE"/>
    <w:rsid w:val="00F46926"/>
    <w:rsid w:val="00F531D9"/>
    <w:rsid w:val="00F56C5C"/>
    <w:rsid w:val="00F7201B"/>
    <w:rsid w:val="00F74E46"/>
    <w:rsid w:val="00F84AB1"/>
    <w:rsid w:val="00F9663A"/>
    <w:rsid w:val="00F976FF"/>
    <w:rsid w:val="00F97F33"/>
    <w:rsid w:val="00FB1CE0"/>
    <w:rsid w:val="00FB53D4"/>
    <w:rsid w:val="00FF1FDE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C65E7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a4">
    <w:name w:val="Normal (Web)"/>
    <w:basedOn w:val="a"/>
    <w:unhideWhenUsed/>
    <w:rsid w:val="00F56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6C5C"/>
  </w:style>
  <w:style w:type="table" w:styleId="a5">
    <w:name w:val="Table Grid"/>
    <w:basedOn w:val="a1"/>
    <w:uiPriority w:val="59"/>
    <w:rsid w:val="00A26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C6F2C"/>
    <w:pPr>
      <w:ind w:left="720"/>
      <w:contextualSpacing/>
    </w:pPr>
  </w:style>
  <w:style w:type="paragraph" w:customStyle="1" w:styleId="ConsPlusNormal">
    <w:name w:val="ConsPlusNormal"/>
    <w:rsid w:val="00EF5E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F32ABE"/>
    <w:pPr>
      <w:widowControl w:val="0"/>
      <w:shd w:val="clear" w:color="auto" w:fill="FFFFFF"/>
      <w:tabs>
        <w:tab w:val="left" w:pos="542"/>
      </w:tabs>
      <w:autoSpaceDE w:val="0"/>
      <w:autoSpaceDN w:val="0"/>
      <w:adjustRightInd w:val="0"/>
      <w:spacing w:before="254" w:after="0" w:line="240" w:lineRule="auto"/>
      <w:ind w:left="10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32ABE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  <w:lang w:eastAsia="ru-RU"/>
    </w:rPr>
  </w:style>
  <w:style w:type="paragraph" w:customStyle="1" w:styleId="1">
    <w:name w:val="Абзац списка1"/>
    <w:basedOn w:val="a"/>
    <w:rsid w:val="0071697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xspmiddle">
    <w:name w:val="1cxspmiddle"/>
    <w:basedOn w:val="a"/>
    <w:rsid w:val="0071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xsplast">
    <w:name w:val="1cxsplast"/>
    <w:basedOn w:val="a"/>
    <w:rsid w:val="0071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17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17F90"/>
  </w:style>
  <w:style w:type="paragraph" w:styleId="ab">
    <w:name w:val="footer"/>
    <w:basedOn w:val="a"/>
    <w:link w:val="ac"/>
    <w:uiPriority w:val="99"/>
    <w:semiHidden/>
    <w:unhideWhenUsed/>
    <w:rsid w:val="00617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17F90"/>
  </w:style>
  <w:style w:type="paragraph" w:styleId="ad">
    <w:name w:val="No Spacing"/>
    <w:qFormat/>
    <w:rsid w:val="00137CDD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CD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7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4B202-2E9D-4B12-98CD-9D5C8CD08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20591</TotalTime>
  <Pages>1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Герман Николаевич</dc:creator>
  <cp:lastModifiedBy>Admin</cp:lastModifiedBy>
  <cp:revision>39</cp:revision>
  <cp:lastPrinted>2019-05-19T18:57:00Z</cp:lastPrinted>
  <dcterms:created xsi:type="dcterms:W3CDTF">2014-08-12T09:06:00Z</dcterms:created>
  <dcterms:modified xsi:type="dcterms:W3CDTF">2019-12-10T17:28:00Z</dcterms:modified>
</cp:coreProperties>
</file>